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53" w:rsidRPr="008C2C76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C2C76">
        <w:rPr>
          <w:rFonts w:ascii="Times New Roman" w:hAnsi="Times New Roman"/>
          <w:b/>
          <w:bCs/>
          <w:sz w:val="28"/>
          <w:szCs w:val="28"/>
          <w:lang w:val="kk-KZ"/>
        </w:rPr>
        <w:t>"</w:t>
      </w:r>
      <w:r w:rsidR="008C2C76" w:rsidRPr="008C2C76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Дизайндағы зияткерлік меншік және құқықтық аспектілері</w:t>
      </w:r>
      <w:r w:rsidRPr="008C2C76">
        <w:rPr>
          <w:rFonts w:ascii="Times New Roman" w:hAnsi="Times New Roman"/>
          <w:b/>
          <w:bCs/>
          <w:sz w:val="28"/>
          <w:szCs w:val="28"/>
          <w:lang w:val="kk-KZ"/>
        </w:rPr>
        <w:t>"</w:t>
      </w: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22F1">
        <w:rPr>
          <w:rFonts w:ascii="Times New Roman" w:hAnsi="Times New Roman"/>
          <w:b/>
          <w:bCs/>
          <w:sz w:val="28"/>
          <w:szCs w:val="28"/>
          <w:lang w:val="kk-KZ"/>
        </w:rPr>
        <w:t>пән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r w:rsidRPr="000122F1">
        <w:rPr>
          <w:rFonts w:ascii="Times New Roman" w:hAnsi="Times New Roman"/>
          <w:b/>
          <w:bCs/>
          <w:sz w:val="28"/>
          <w:szCs w:val="28"/>
          <w:lang w:val="kk-KZ"/>
        </w:rPr>
        <w:t xml:space="preserve"> бойынша қорытынды емтихан</w:t>
      </w:r>
    </w:p>
    <w:p w:rsidR="00496653" w:rsidRPr="000122F1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0122F1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22F1"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СЫ</w:t>
      </w:r>
    </w:p>
    <w:p w:rsidR="00496653" w:rsidRPr="000122F1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0122F1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22F1">
        <w:rPr>
          <w:rFonts w:ascii="Times New Roman" w:hAnsi="Times New Roman"/>
          <w:b/>
          <w:bCs/>
          <w:sz w:val="28"/>
          <w:szCs w:val="28"/>
          <w:lang w:val="kk-KZ"/>
        </w:rPr>
        <w:t>Өткізу нысаны-Moodle платформасында өтетін шығармашылық тапсырма</w:t>
      </w:r>
    </w:p>
    <w:p w:rsidR="00496653" w:rsidRPr="000122F1" w:rsidRDefault="00496653" w:rsidP="00496653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22F1">
        <w:rPr>
          <w:rFonts w:ascii="Times New Roman" w:hAnsi="Times New Roman"/>
          <w:b/>
          <w:bCs/>
          <w:sz w:val="28"/>
          <w:szCs w:val="28"/>
          <w:lang w:val="kk-KZ"/>
        </w:rPr>
        <w:t>Емтихан өткізу ережелері:</w:t>
      </w: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>1. Емтихан кесте бойынша өткізіледі. Емтиханды өткізу мерзімдері кестеге сәйкес қойылады.</w:t>
      </w: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 xml:space="preserve">Магистранттар </w:t>
      </w:r>
      <w:r w:rsidRPr="000122F1">
        <w:rPr>
          <w:rFonts w:ascii="Times New Roman" w:hAnsi="Times New Roman"/>
          <w:sz w:val="28"/>
          <w:szCs w:val="28"/>
          <w:lang w:val="kk-KZ"/>
        </w:rPr>
        <w:t>мен оқытушы емтиханның күні мен уақытын алдын-ала білуі керек.</w:t>
      </w: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>3. 30 минут бұрын студенттерге емтихан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0122F1">
        <w:rPr>
          <w:rFonts w:ascii="Times New Roman" w:hAnsi="Times New Roman"/>
          <w:sz w:val="28"/>
          <w:szCs w:val="28"/>
          <w:lang w:val="kk-KZ"/>
        </w:rPr>
        <w:t xml:space="preserve"> бастал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0122F1">
        <w:rPr>
          <w:rFonts w:ascii="Times New Roman" w:hAnsi="Times New Roman"/>
          <w:sz w:val="28"/>
          <w:szCs w:val="28"/>
          <w:lang w:val="kk-KZ"/>
        </w:rPr>
        <w:t xml:space="preserve"> уақыт пен аяқталу уақыты ескертіледі.</w:t>
      </w: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>4. Емтиханды орындау уақыты 3 сағат.</w:t>
      </w: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 xml:space="preserve">Магистранттардың </w:t>
      </w:r>
      <w:r w:rsidRPr="000122F1">
        <w:rPr>
          <w:rFonts w:ascii="Times New Roman" w:hAnsi="Times New Roman"/>
          <w:sz w:val="28"/>
          <w:szCs w:val="28"/>
          <w:lang w:val="kk-KZ"/>
        </w:rPr>
        <w:t xml:space="preserve">өтініші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емтихан </w:t>
      </w:r>
      <w:r w:rsidRPr="000122F1">
        <w:rPr>
          <w:rFonts w:ascii="Times New Roman" w:hAnsi="Times New Roman"/>
          <w:sz w:val="28"/>
          <w:szCs w:val="28"/>
          <w:lang w:val="kk-KZ"/>
        </w:rPr>
        <w:t>мерзім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0122F1">
        <w:rPr>
          <w:rFonts w:ascii="Times New Roman" w:hAnsi="Times New Roman"/>
          <w:sz w:val="28"/>
          <w:szCs w:val="28"/>
          <w:lang w:val="kk-KZ"/>
        </w:rPr>
        <w:t xml:space="preserve"> өзгертуге тыйым салынады.</w:t>
      </w:r>
    </w:p>
    <w:p w:rsidR="00496653" w:rsidRPr="000122F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>6. Мазмұнға қойылатын талаптар мен әдістемелік ұсынымдар Moodle ҚББЖ-да орналасқан PDF-нұсқадағы пән бойынша қорытынды емтихан құжатында берілген.</w:t>
      </w:r>
    </w:p>
    <w:p w:rsidR="00496653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>7. Тексеру қорытындысы бойынша оқытушы емтиханға қатысушыларды аттестаттайды. Емтиханды аттестаттау ведомосіне балл қою уақыты-72 сағатқа дейін.</w:t>
      </w: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22F1">
        <w:rPr>
          <w:rFonts w:ascii="Times New Roman" w:hAnsi="Times New Roman"/>
          <w:b/>
          <w:bCs/>
          <w:sz w:val="28"/>
          <w:szCs w:val="28"/>
          <w:lang w:val="kk-KZ"/>
        </w:rPr>
        <w:t>"Емтихан тапсырмалары жасалатын негізгі тақырыптар"</w:t>
      </w: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CE06F6" w:rsidRDefault="00F92697" w:rsidP="00CE06F6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Дизайндағы зияткерлік меншік және құқықтық аспектілері</w:t>
      </w: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не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анықтама беріңіз</w:t>
      </w:r>
    </w:p>
    <w:p w:rsidR="00496653" w:rsidRPr="00CE06F6" w:rsidRDefault="00F92697" w:rsidP="00CE06F6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Дизайндағы зияткерлік меншік және құқықтық аспектілері</w:t>
      </w: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нің</w:t>
      </w:r>
      <w:r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негізгі заңдылықтары: түсінігі, функциялары, мазмұны, формасы, бейнелері </w:t>
      </w:r>
      <w:r w:rsidR="00F37DED">
        <w:rPr>
          <w:rFonts w:ascii="Times New Roman" w:eastAsia="Times New Roman" w:hAnsi="Times New Roman"/>
          <w:sz w:val="28"/>
          <w:szCs w:val="28"/>
          <w:lang w:val="kk-KZ" w:eastAsia="ru-RU"/>
        </w:rPr>
        <w:t>мен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құралдары</w:t>
      </w:r>
    </w:p>
    <w:p w:rsidR="00496653" w:rsidRPr="00CE06F6" w:rsidRDefault="00F92697" w:rsidP="00CE06F6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Дизайндағы зияткерлік меншік</w:t>
      </w:r>
      <w:r w:rsidR="003C74CC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ке</w:t>
      </w:r>
      <w:r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байланысты эстетикалық</w:t>
      </w:r>
      <w:r w:rsidR="003C74CC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, көркемдік, құқықтық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C74CC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аспектілерді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анықтаңыз және сипаттаңыз </w:t>
      </w:r>
    </w:p>
    <w:p w:rsidR="00496653" w:rsidRPr="00CE06F6" w:rsidRDefault="00496653" w:rsidP="00CE06F6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Қазіргі </w:t>
      </w:r>
      <w:r w:rsidR="00DD43B5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Қазақстанның д</w:t>
      </w:r>
      <w:r w:rsidR="003C74CC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изайн</w:t>
      </w:r>
      <w:r w:rsidR="00DD43B5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саласын</w:t>
      </w:r>
      <w:r w:rsidR="002319E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дағы</w:t>
      </w:r>
      <w:r w:rsidR="003C74CC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зияткерлік меншік және құқықтық аспектілері</w:t>
      </w:r>
      <w:r w:rsidR="003C74CC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нің бүгінгі жағдайы</w:t>
      </w:r>
      <w:r w:rsidR="00DD43B5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на анықтама беріңіз</w:t>
      </w:r>
    </w:p>
    <w:p w:rsidR="00496653" w:rsidRPr="00CE06F6" w:rsidRDefault="00EE6DD7" w:rsidP="00CE06F6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sz w:val="28"/>
          <w:szCs w:val="28"/>
          <w:lang w:val="kk-KZ"/>
        </w:rPr>
        <w:t>Дизайнерлік жұмыстың нәтижелерін зияткерлік меншік ретінде қарастыр</w:t>
      </w:r>
      <w:r w:rsidR="00390C7B" w:rsidRPr="00CE06F6">
        <w:rPr>
          <w:rFonts w:ascii="Times New Roman" w:hAnsi="Times New Roman"/>
          <w:sz w:val="28"/>
          <w:szCs w:val="28"/>
          <w:lang w:val="kk-KZ"/>
        </w:rPr>
        <w:t xml:space="preserve">ып, оның </w:t>
      </w:r>
      <w:r w:rsidR="00DD43B5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64A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мүмкіндіктерін,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құралдары мен </w:t>
      </w:r>
      <w:r w:rsidR="00390C7B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құрал-тәсілдерін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көрсетіңіз</w:t>
      </w:r>
    </w:p>
    <w:p w:rsidR="00496653" w:rsidRPr="00CE06F6" w:rsidRDefault="00857368" w:rsidP="00CE06F6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Дизайндағы зияткерлік меншік</w:t>
      </w: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ті</w:t>
      </w:r>
      <w:r w:rsidR="00154251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қорғаудың</w:t>
      </w: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негізгі элементі </w:t>
      </w:r>
      <w:r w:rsidR="00B6445C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ретінде </w:t>
      </w:r>
      <w:r w:rsidR="00154251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құқықтық</w:t>
      </w:r>
      <w:r w:rsidR="00154251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6445C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негіздеріне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мысал келтіріңіз</w:t>
      </w:r>
    </w:p>
    <w:p w:rsidR="00496653" w:rsidRPr="00CE06F6" w:rsidRDefault="00496653" w:rsidP="00CE06F6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Дизайндағы</w:t>
      </w:r>
      <w:r w:rsidR="003E0EC3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7B1798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з</w:t>
      </w:r>
      <w:r w:rsidR="007B1798" w:rsidRPr="00CE06F6">
        <w:rPr>
          <w:rFonts w:ascii="Times New Roman" w:hAnsi="Times New Roman"/>
          <w:color w:val="000000"/>
          <w:sz w:val="28"/>
          <w:szCs w:val="28"/>
          <w:lang w:val="kk-KZ"/>
        </w:rPr>
        <w:t xml:space="preserve">ияткерлік меншік құқығына қатысты дүние жүзілік конвенциялардың </w:t>
      </w:r>
      <w:r w:rsidR="007B1798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негізгі атқаратын қызметі мен заңдылықтары</w:t>
      </w:r>
      <w:r w:rsidR="00CE06F6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на талдау жасаңыз</w:t>
      </w:r>
    </w:p>
    <w:p w:rsidR="00496653" w:rsidRPr="00CE06F6" w:rsidRDefault="008B0C2B" w:rsidP="00CE06F6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sz w:val="28"/>
          <w:szCs w:val="28"/>
          <w:lang w:val="kk-KZ"/>
        </w:rPr>
        <w:t>Қазақстан Республикасының әлемдік зияткерлік меншік саласындағы орынын айқында</w:t>
      </w:r>
      <w:r w:rsidRPr="00CE06F6">
        <w:rPr>
          <w:rFonts w:ascii="Times New Roman" w:hAnsi="Times New Roman"/>
          <w:sz w:val="28"/>
          <w:szCs w:val="28"/>
          <w:lang w:val="kk-KZ"/>
        </w:rPr>
        <w:t>п,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айырмашылығын көрсетіңіз</w:t>
      </w:r>
    </w:p>
    <w:p w:rsidR="00496653" w:rsidRPr="00CE06F6" w:rsidRDefault="006A7DEE" w:rsidP="00CE06F6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sz w:val="28"/>
          <w:szCs w:val="28"/>
          <w:lang w:val="kk-KZ"/>
        </w:rPr>
        <w:t>Қазақстан Республикасының әлемдік зияткерлік меншік саласындағы ор</w:t>
      </w:r>
      <w:r w:rsidRPr="00CE06F6">
        <w:rPr>
          <w:rFonts w:ascii="Times New Roman" w:hAnsi="Times New Roman"/>
          <w:sz w:val="28"/>
          <w:szCs w:val="28"/>
          <w:lang w:val="kk-KZ"/>
        </w:rPr>
        <w:t>нын анықтау</w:t>
      </w:r>
      <w:r w:rsidRPr="00CE06F6">
        <w:rPr>
          <w:rFonts w:ascii="Times New Roman" w:hAnsi="Times New Roman"/>
          <w:sz w:val="28"/>
          <w:szCs w:val="28"/>
          <w:lang w:val="kk-KZ"/>
        </w:rPr>
        <w:t>, авторлық құқықтың обьектілерін сарала</w:t>
      </w:r>
      <w:r w:rsidRPr="00CE06F6">
        <w:rPr>
          <w:rFonts w:ascii="Times New Roman" w:hAnsi="Times New Roman"/>
          <w:sz w:val="28"/>
          <w:szCs w:val="28"/>
          <w:lang w:val="kk-KZ"/>
        </w:rPr>
        <w:t>у</w:t>
      </w:r>
      <w:r w:rsidRPr="00CE06F6">
        <w:rPr>
          <w:rFonts w:ascii="Times New Roman" w:hAnsi="Times New Roman"/>
          <w:sz w:val="28"/>
          <w:szCs w:val="28"/>
          <w:lang w:val="kk-KZ"/>
        </w:rPr>
        <w:t>, ғылыми-шығармашылық жұмыстың нәтижелерін бағалау</w:t>
      </w:r>
      <w:r w:rsidRPr="00CE06F6">
        <w:rPr>
          <w:rFonts w:ascii="Times New Roman" w:hAnsi="Times New Roman"/>
          <w:sz w:val="28"/>
          <w:szCs w:val="28"/>
          <w:lang w:val="kk-KZ"/>
        </w:rPr>
        <w:t xml:space="preserve"> жүйелеріне</w:t>
      </w:r>
      <w:r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анықтама беріңіз</w:t>
      </w:r>
    </w:p>
    <w:p w:rsidR="00496653" w:rsidRPr="00CE06F6" w:rsidRDefault="00800BAD" w:rsidP="00CE06F6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Дизайндағы зияткерлік меншік</w:t>
      </w:r>
      <w:r w:rsidR="00C67D49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ті қорғау</w:t>
      </w: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C67D49"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мен оның</w:t>
      </w:r>
      <w:r w:rsidRPr="00CE06F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құқықтық аспектілеріне </w:t>
      </w:r>
      <w:r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67D49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байланысты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озық тәжірибелерді және заманауи </w:t>
      </w:r>
      <w:r w:rsidR="008713CF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әдіс-</w:t>
      </w:r>
      <w:r w:rsidR="00496653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тәсілдер</w:t>
      </w:r>
      <w:r w:rsidR="00CE06F6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8713CF" w:rsidRPr="00CE06F6">
        <w:rPr>
          <w:rFonts w:ascii="Times New Roman" w:eastAsia="Times New Roman" w:hAnsi="Times New Roman"/>
          <w:sz w:val="28"/>
          <w:szCs w:val="28"/>
          <w:lang w:val="kk-KZ" w:eastAsia="ru-RU"/>
        </w:rPr>
        <w:t>не мысал келтіріңіз</w:t>
      </w:r>
    </w:p>
    <w:p w:rsidR="008C2C76" w:rsidRPr="000B291F" w:rsidRDefault="008C2C76" w:rsidP="000B291F">
      <w:pPr>
        <w:rPr>
          <w:rFonts w:ascii="Times New Roman" w:hAnsi="Times New Roman"/>
          <w:sz w:val="28"/>
          <w:szCs w:val="28"/>
          <w:lang w:val="kk-KZ"/>
        </w:rPr>
      </w:pP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22F1">
        <w:rPr>
          <w:rFonts w:ascii="Times New Roman" w:hAnsi="Times New Roman"/>
          <w:sz w:val="28"/>
          <w:szCs w:val="28"/>
          <w:lang w:val="kk-KZ"/>
        </w:rPr>
        <w:t>"</w:t>
      </w:r>
      <w:r w:rsidRPr="000122F1">
        <w:rPr>
          <w:rFonts w:ascii="Times New Roman" w:hAnsi="Times New Roman"/>
          <w:b/>
          <w:bCs/>
          <w:sz w:val="28"/>
          <w:szCs w:val="28"/>
          <w:lang w:val="kk-KZ"/>
        </w:rPr>
        <w:t>Емтиханға дайындалу үшін ұсынылатын әдебиет көздері"</w:t>
      </w:r>
    </w:p>
    <w:p w:rsidR="000A29CE" w:rsidRDefault="000A29CE" w:rsidP="000A29CE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Близнец И. А. Право интеллектуальной собственности. Учебник. Учебник. М.: Проспект, 2020. 896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Цыбулев П.Н. Основы интеллектуальной собственности / Учебное пособие. К: «Институт интеллектуальной собственности и права», 2005. – 108с.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Савина В.С. Интеллектуальная собственность (учебно-методическое пособие). Гражданское право. Сборник программ дисциплин специализации. Ставрополь: Ставрополь сервис школа, 2010. -101 с. С. 47-59. (0,5 п.л.)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Новоселова Л. А. Право интеллектуальной собственности. Учебник. М.: Юрайт, 2019. 344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Право интеллектуальной собственности: учебник / А.С. Ворожевич, О.С. Гринь, В.А. Корнеев и др.; под общ. ред. Л.А. Новоселовой. М.: Статут, 2018. Т. 3: Средства индивидуализации. 432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Право интеллектуальной собственности: учебник / Е.В. Бадулина, Д.А. Гаврилов, Е.С. Гринь и др.; под общ. ред. Л.А. Новоселовой. М.: Статут, 2017. Т. 1: Общие положения. 512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lastRenderedPageBreak/>
        <w:t>Право интеллектуальной собственности: Учебник / Е.С. Гринь, В.О. Калятин, С.В. Михайлов и др.; под общ. ред. Л.А. Новоселовой. М.: Статут, 2017. Т. 2: Авторское право. 367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Право интеллектуальной собственности: Учебник / О.Л. Алексеева, А.С. Ворожевич, О.С. Гринь и др.; под общ. ред. Л.А. Новоселовой. М.: Статут, 2019. Т. 4: Патентное право. 659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Право интеллектуальной собственности. Учебник / под ред. Близнеца И.А. М.: Проспект, 2020. 896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left" w:pos="4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Право интеллектуальной собственности. Учебник и практикум для академического бакалавриата / под ред. Позднякова Е. А. М.: Юрайт, 2019. 322 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clear" w:pos="720"/>
          <w:tab w:val="left" w:pos="41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 xml:space="preserve">История интеллектуальной собственности // Енисейский благовест [Электронный ресурс]. – Режим доступа: http://enisey.name/umk/pzis/ch01s02.html. – Дата доступа: 25.10.2020. 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clear" w:pos="720"/>
          <w:tab w:val="left" w:pos="41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 xml:space="preserve">Сенюта, В. Становление интеллектуальной собственности в Древней Греции, Древнем Риме и Средневековой Европе: проблемно-историческое исследование [Электронный ресурс]. – Режим доступа: https://ibn.idsi.md/sites/ default/files/imag_file/73_76_Stanovlenie%20prava%20intellektual%27noj%20 sobstvennosti%20v%20Drevnej%20Grecii%2C%20Drevnem%20Rime.pdf. – Дата доступа: 25.10.2020. 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clear" w:pos="720"/>
          <w:tab w:val="left" w:pos="417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Зинов В.Г. Управление интеллектуальной собственностью: учеб. пособие. – М.: Дело, 2003.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clear" w:pos="720"/>
          <w:tab w:val="left" w:pos="417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Цыбулев П.Н. Оценка интеллектуальной собственности / Учебное пособие. К: «Институт интеллектуальной собственности и права», 2004. – 188с.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clear" w:pos="720"/>
          <w:tab w:val="left" w:pos="417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Жаров В.А. Защита права интеллектуальной собственности / Учебное пособие. К: «Институт интеллектуальной собственности и права», 2004. – 64с.</w:t>
      </w:r>
    </w:p>
    <w:p w:rsidR="000A29CE" w:rsidRPr="009C1AF5" w:rsidRDefault="000A29CE" w:rsidP="009C1AF5">
      <w:pPr>
        <w:numPr>
          <w:ilvl w:val="0"/>
          <w:numId w:val="5"/>
        </w:numPr>
        <w:shd w:val="clear" w:color="auto" w:fill="FFFFFF"/>
        <w:tabs>
          <w:tab w:val="clear" w:pos="720"/>
          <w:tab w:val="left" w:pos="417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C1AF5">
        <w:rPr>
          <w:rFonts w:ascii="Times New Roman" w:hAnsi="Times New Roman"/>
          <w:sz w:val="28"/>
          <w:szCs w:val="28"/>
          <w:lang w:val="kk-KZ"/>
        </w:rPr>
        <w:t>Цыбулев П.Н. Маркетинг интеллектуальной собственности / Учебное пособие. К: «Институт интеллектуальной собственности и права», 2004. – 184с.</w:t>
      </w:r>
    </w:p>
    <w:p w:rsidR="00496653" w:rsidRPr="00A20C21" w:rsidRDefault="00496653" w:rsidP="00496653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1841">
        <w:rPr>
          <w:rFonts w:ascii="Times New Roman" w:hAnsi="Times New Roman"/>
          <w:b/>
          <w:bCs/>
          <w:sz w:val="28"/>
          <w:szCs w:val="28"/>
          <w:lang w:val="kk-KZ"/>
        </w:rPr>
        <w:t>Интернет-ресурстар:</w:t>
      </w: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5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https://www.wipo.int/treaties/ru/ip/berne/summary_berne.html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https://patentus.ru/media/statyi/ss/istorija-prava-intellektualnoj-sobstvennosti/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https://www.wipo.int/treaties/ru/convention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https://www.wipo.int/wipo_magazine/ru/2019/04/article_0007.html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9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https://copat.gov.az/docs/Kamran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0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http://crimescience.ru/wp-content/uploads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1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https://www.kubsu.ru/sites/default/files/users/22405/portfolio/0131318.pdf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2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https://www.intellectpro.ru/press/works/iz_istorii_prava_intellektual_noy_sobstvennosti/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3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https://www.intellectpro.ru/press/works/iz_istorii_prava_intellektual_noy_sobstvennosti/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4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https://dip.global/block/evolyuciya-intellektualnyh-prav-1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5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https://www.dissercat.com/content/evolyutsiya-kontseptsii-prava-intellektualnoi-sobstvennosti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6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https://elib.bsu.by/bitstream/123456789/255668/1/dubodel_sbornik25.pdf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7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https://azalesov.ru/analytics/publications/evolyutsiya-prava-ot-literaturnoj-sobstvennosti-k-avtorskomu-pravu-xv-ikhkh-veka-i-ee-prichiny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8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https://egov.kz/cms/ru/articles/copyright/intellectual_property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9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http://ipcmagazine.ru/legal-issues/on-the-concept-of-intellectual-property-from-the-standpoint-of-international-law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0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https://www.itu.int/ru/ITU-T/ipr/Pages/default.aspx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1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https://atameken.kz/ru/services/39-intellektual-naya-sobstvennost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2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https://www.gov.kz/memleket/entities/adilet/documents/details/166427?lang=ru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3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https://www.rbc.ru/opinions/business/17/07/2023/64b1651c9a7947bd9a2d05e4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4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https://klin.rgsu.net/science/istoriya-i-sovremennye-problemy-prava-intellektualnoy-sobstvennosti.html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5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https://www.ohchr.org/sites/default/files/Documents/Issues/Development/PamphletsRealizing_for_TransformativeDevelopment_ru.pdf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6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https://moluch.ru/archive/24/2597/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7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https://www.coe.int/ru/web/compass/the-evolution-of-human-rights</w:t>
        </w:r>
      </w:hyperlink>
    </w:p>
    <w:p w:rsidR="006D5AC8" w:rsidRPr="006D5AC8" w:rsidRDefault="006D5AC8" w:rsidP="006D5AC8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28" w:history="1">
        <w:r w:rsidRPr="006D5A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https://qazpatent.kz/sites/default/files/journal/isk_no3_2014_web.pdf</w:t>
        </w:r>
      </w:hyperlink>
    </w:p>
    <w:p w:rsidR="00496653" w:rsidRPr="006D5AC8" w:rsidRDefault="00496653" w:rsidP="006D5AC8">
      <w:pPr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1841">
        <w:rPr>
          <w:rFonts w:ascii="Times New Roman" w:hAnsi="Times New Roman"/>
          <w:b/>
          <w:bCs/>
          <w:sz w:val="28"/>
          <w:szCs w:val="28"/>
          <w:lang w:val="kk-KZ"/>
        </w:rPr>
        <w:t>Академиялық ережелер</w:t>
      </w: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E61841" w:rsidRDefault="00496653" w:rsidP="00496653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1841">
        <w:rPr>
          <w:rFonts w:ascii="Times New Roman" w:hAnsi="Times New Roman"/>
          <w:b/>
          <w:bCs/>
          <w:sz w:val="28"/>
          <w:szCs w:val="28"/>
          <w:lang w:val="kk-KZ"/>
        </w:rPr>
        <w:t xml:space="preserve">Құрметті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магистранттар</w:t>
      </w:r>
      <w:r w:rsidRPr="00E61841">
        <w:rPr>
          <w:rFonts w:ascii="Times New Roman" w:hAnsi="Times New Roman"/>
          <w:b/>
          <w:bCs/>
          <w:sz w:val="28"/>
          <w:szCs w:val="28"/>
          <w:lang w:val="kk-KZ"/>
        </w:rPr>
        <w:t>!</w:t>
      </w:r>
    </w:p>
    <w:p w:rsidR="00496653" w:rsidRPr="00E61841" w:rsidRDefault="00496653" w:rsidP="0049665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03352D" w:rsidRDefault="0003352D" w:rsidP="0003352D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21EA9">
        <w:rPr>
          <w:rFonts w:ascii="Times New Roman" w:hAnsi="Times New Roman"/>
          <w:b/>
          <w:bCs/>
          <w:i/>
          <w:sz w:val="28"/>
          <w:szCs w:val="28"/>
          <w:lang w:val="kk-KZ"/>
        </w:rPr>
        <w:t>"</w:t>
      </w:r>
      <w:r w:rsidRPr="00221EA9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Дизайндағы зияткерлік меншік және құқықтық аспектілері</w:t>
      </w:r>
      <w:r w:rsidRPr="00221EA9">
        <w:rPr>
          <w:rFonts w:ascii="Times New Roman" w:hAnsi="Times New Roman"/>
          <w:b/>
          <w:bCs/>
          <w:i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496653" w:rsidRPr="0003352D">
        <w:rPr>
          <w:rFonts w:ascii="Times New Roman" w:hAnsi="Times New Roman"/>
          <w:sz w:val="28"/>
          <w:szCs w:val="28"/>
          <w:lang w:val="kk-KZ"/>
        </w:rPr>
        <w:t>пәні бойынша шығармашылық емтихан Moodle жүйесінде өткізіледі.</w:t>
      </w:r>
    </w:p>
    <w:p w:rsidR="00496653" w:rsidRPr="00E61841" w:rsidRDefault="00496653" w:rsidP="0003352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E61841">
        <w:rPr>
          <w:rFonts w:ascii="Times New Roman" w:hAnsi="Times New Roman"/>
          <w:sz w:val="28"/>
          <w:szCs w:val="28"/>
          <w:lang w:val="kk-KZ"/>
        </w:rPr>
        <w:t>Емтихан тапсыру техникасымен сіз ҚазҰУ сайтында жарияланған білім алушыларға арналған нұсқаулықта таныса аласыз.</w:t>
      </w:r>
      <w:r>
        <w:rPr>
          <w:rFonts w:ascii="Times New Roman" w:hAnsi="Times New Roman"/>
          <w:sz w:val="28"/>
          <w:szCs w:val="28"/>
          <w:lang w:val="kk-KZ"/>
        </w:rPr>
        <w:t xml:space="preserve"> Ә</w:t>
      </w:r>
      <w:r w:rsidRPr="00E61841">
        <w:rPr>
          <w:rFonts w:ascii="Times New Roman" w:hAnsi="Times New Roman"/>
          <w:sz w:val="28"/>
          <w:szCs w:val="28"/>
          <w:lang w:val="kk-KZ"/>
        </w:rPr>
        <w:t>л-Фараби, "қашықтықтан біл</w:t>
      </w:r>
      <w:bookmarkStart w:id="0" w:name="_GoBack"/>
      <w:bookmarkEnd w:id="0"/>
      <w:r w:rsidRPr="00E61841">
        <w:rPr>
          <w:rFonts w:ascii="Times New Roman" w:hAnsi="Times New Roman"/>
          <w:sz w:val="28"/>
          <w:szCs w:val="28"/>
          <w:lang w:val="kk-KZ"/>
        </w:rPr>
        <w:t xml:space="preserve">ім беру" бөлімінде - "сессия бойынша нұсқаулық".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E61841">
        <w:rPr>
          <w:rFonts w:ascii="Times New Roman" w:hAnsi="Times New Roman"/>
          <w:sz w:val="28"/>
          <w:szCs w:val="28"/>
          <w:lang w:val="kk-KZ"/>
        </w:rPr>
        <w:t>Сілтемені басу арқылы танысыңыз https://www.kaznu.kz/ru/21639/page/</w:t>
      </w:r>
    </w:p>
    <w:p w:rsidR="00496653" w:rsidRPr="00E6184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</w:t>
      </w:r>
      <w:r w:rsidRPr="00E61841">
        <w:rPr>
          <w:rFonts w:ascii="Times New Roman" w:hAnsi="Times New Roman"/>
          <w:sz w:val="28"/>
          <w:szCs w:val="28"/>
          <w:lang w:val="kk-KZ"/>
        </w:rPr>
        <w:t>Емтихан</w:t>
      </w:r>
      <w:r>
        <w:rPr>
          <w:rFonts w:ascii="Times New Roman" w:hAnsi="Times New Roman"/>
          <w:sz w:val="28"/>
          <w:szCs w:val="28"/>
          <w:lang w:val="kk-KZ"/>
        </w:rPr>
        <w:t xml:space="preserve">да берілген тапсырмаларды үш сағат ішінде орандап бітіру керек. Біткен жұмыс антиплагиатқа тексеріледі. </w:t>
      </w:r>
    </w:p>
    <w:p w:rsidR="00496653" w:rsidRPr="00E6184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E61841">
        <w:rPr>
          <w:rFonts w:ascii="Times New Roman" w:hAnsi="Times New Roman"/>
          <w:sz w:val="28"/>
          <w:szCs w:val="28"/>
          <w:lang w:val="kk-KZ"/>
        </w:rPr>
        <w:t>Сіз емтиханды кесте бойынша уақыт ішінде ғана тапсыра аласыз. Бірінші кіргеннен кейін емтихан уақыты басталады. Осы уақыттан кейін емтихан автоматты түрде тоқтатылады</w:t>
      </w:r>
    </w:p>
    <w:p w:rsidR="00496653" w:rsidRPr="00E6184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E61841">
        <w:rPr>
          <w:rFonts w:ascii="Times New Roman" w:hAnsi="Times New Roman"/>
          <w:sz w:val="28"/>
          <w:szCs w:val="28"/>
          <w:lang w:val="kk-KZ"/>
        </w:rPr>
        <w:t>Егер техникалық себептерге байланысты Сізді тесттен "лақтырып тастаса", емтиханға бөлінген уақыт ішінде оралуға болады.</w:t>
      </w:r>
    </w:p>
    <w:p w:rsidR="00496653" w:rsidRPr="00E6184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E61841">
        <w:rPr>
          <w:rFonts w:ascii="Times New Roman" w:hAnsi="Times New Roman"/>
          <w:sz w:val="28"/>
          <w:szCs w:val="28"/>
          <w:lang w:val="kk-KZ"/>
        </w:rPr>
        <w:t>Егер техникалық себептер бойынша сіз емтиханды уақытында тапсыра алмасаңыз, онда Сіз оқу</w:t>
      </w:r>
      <w:r>
        <w:rPr>
          <w:rFonts w:ascii="Times New Roman" w:hAnsi="Times New Roman"/>
          <w:sz w:val="28"/>
          <w:szCs w:val="28"/>
          <w:lang w:val="kk-KZ"/>
        </w:rPr>
        <w:t xml:space="preserve"> ісі</w:t>
      </w:r>
      <w:r w:rsidRPr="00E61841">
        <w:rPr>
          <w:rFonts w:ascii="Times New Roman" w:hAnsi="Times New Roman"/>
          <w:sz w:val="28"/>
          <w:szCs w:val="28"/>
          <w:lang w:val="kk-KZ"/>
        </w:rPr>
        <w:t xml:space="preserve"> жөніндегі проректордың атына өтінішіңіз </w:t>
      </w:r>
      <w:r>
        <w:rPr>
          <w:rFonts w:ascii="Times New Roman" w:hAnsi="Times New Roman"/>
          <w:sz w:val="28"/>
          <w:szCs w:val="28"/>
          <w:lang w:val="kk-KZ"/>
        </w:rPr>
        <w:t xml:space="preserve">жазып, </w:t>
      </w:r>
      <w:r w:rsidRPr="00E61841">
        <w:rPr>
          <w:rFonts w:ascii="Times New Roman" w:hAnsi="Times New Roman"/>
          <w:sz w:val="28"/>
          <w:szCs w:val="28"/>
          <w:lang w:val="kk-KZ"/>
        </w:rPr>
        <w:t xml:space="preserve">басқа күні тапсыруға мүмкіндік </w:t>
      </w:r>
      <w:r>
        <w:rPr>
          <w:rFonts w:ascii="Times New Roman" w:hAnsi="Times New Roman"/>
          <w:sz w:val="28"/>
          <w:szCs w:val="28"/>
          <w:lang w:val="kk-KZ"/>
        </w:rPr>
        <w:t>ала аласыз</w:t>
      </w:r>
      <w:r w:rsidRPr="00E61841">
        <w:rPr>
          <w:rFonts w:ascii="Times New Roman" w:hAnsi="Times New Roman"/>
          <w:sz w:val="28"/>
          <w:szCs w:val="28"/>
          <w:lang w:val="kk-KZ"/>
        </w:rPr>
        <w:t>. Академиялық мәселелер жөніндегі департаментке жіберу үшін куратор-эдвайзерге немесе пән оқытушысына өтініш жіберіңіз.</w:t>
      </w:r>
    </w:p>
    <w:p w:rsidR="00496653" w:rsidRPr="00E6184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E61841">
        <w:rPr>
          <w:rFonts w:ascii="Times New Roman" w:hAnsi="Times New Roman"/>
          <w:sz w:val="28"/>
          <w:szCs w:val="28"/>
          <w:lang w:val="kk-KZ"/>
        </w:rPr>
        <w:t xml:space="preserve">Билет құрылымы. Билет екі сұрақтан тұрады. Әрбір сұраққа нақты Нормативтік құқықтық актілерді және олардың баптарын көрсете отырып, жауапты негіздеу үшін толық және дәлелді жауап берілуі тиіс. </w:t>
      </w:r>
      <w:r>
        <w:rPr>
          <w:rFonts w:ascii="Times New Roman" w:hAnsi="Times New Roman"/>
          <w:sz w:val="28"/>
          <w:szCs w:val="28"/>
          <w:lang w:val="kk-KZ"/>
        </w:rPr>
        <w:t xml:space="preserve">    Берілген сұрақтарды емтихан тапсырушы толықтай ашып</w:t>
      </w:r>
      <w:r w:rsidRPr="00E61841">
        <w:rPr>
          <w:rFonts w:ascii="Times New Roman" w:hAnsi="Times New Roman"/>
          <w:sz w:val="28"/>
          <w:szCs w:val="28"/>
          <w:lang w:val="kk-KZ"/>
        </w:rPr>
        <w:t>, талда</w:t>
      </w:r>
      <w:r>
        <w:rPr>
          <w:rFonts w:ascii="Times New Roman" w:hAnsi="Times New Roman"/>
          <w:sz w:val="28"/>
          <w:szCs w:val="28"/>
          <w:lang w:val="kk-KZ"/>
        </w:rPr>
        <w:t>уы</w:t>
      </w:r>
      <w:r w:rsidRPr="00E61841">
        <w:rPr>
          <w:rFonts w:ascii="Times New Roman" w:hAnsi="Times New Roman"/>
          <w:sz w:val="28"/>
          <w:szCs w:val="28"/>
          <w:lang w:val="kk-KZ"/>
        </w:rPr>
        <w:t xml:space="preserve"> керек.</w:t>
      </w:r>
    </w:p>
    <w:p w:rsidR="00496653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E61841">
        <w:rPr>
          <w:rFonts w:ascii="Times New Roman" w:hAnsi="Times New Roman"/>
          <w:sz w:val="28"/>
          <w:szCs w:val="28"/>
          <w:lang w:val="kk-KZ"/>
        </w:rPr>
        <w:t xml:space="preserve">Жұмысты түпнұсқалығын тексеру. Сіздің жауабыңыз плагиатқа тексеріледі. Жұмыстың өзіндік ерекшелігінің ең төменгі рұқсат етілген деңгейі 75% құрайды. </w:t>
      </w: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2B0940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12579">
        <w:rPr>
          <w:rFonts w:ascii="Times New Roman" w:hAnsi="Times New Roman"/>
          <w:b/>
          <w:bCs/>
          <w:sz w:val="28"/>
          <w:szCs w:val="28"/>
          <w:lang w:val="kk-KZ"/>
        </w:rPr>
        <w:t>Бағалау саясаты:</w:t>
      </w:r>
    </w:p>
    <w:tbl>
      <w:tblPr>
        <w:tblW w:w="8930" w:type="dxa"/>
        <w:tblInd w:w="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1818"/>
      </w:tblGrid>
      <w:tr w:rsidR="00496653" w:rsidRPr="001D5340" w:rsidTr="00AA55BD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653" w:rsidRPr="00412579" w:rsidRDefault="00496653" w:rsidP="00AA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Әріптік</w:t>
            </w:r>
            <w:proofErr w:type="spellEnd"/>
            <w:r w:rsidRPr="0041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жүйе</w:t>
            </w:r>
            <w:proofErr w:type="spellEnd"/>
            <w:r w:rsidRPr="0041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41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653" w:rsidRPr="00412579" w:rsidRDefault="00496653" w:rsidP="00AA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Ұпайлардың</w:t>
            </w:r>
            <w:proofErr w:type="spellEnd"/>
            <w:r w:rsidRPr="0041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сандық</w:t>
            </w:r>
            <w:proofErr w:type="spellEnd"/>
            <w:r w:rsidRPr="0041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баламасы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653" w:rsidRPr="00412579" w:rsidRDefault="00496653" w:rsidP="00AA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%-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тік баламасы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96653" w:rsidRPr="00412579" w:rsidRDefault="00496653" w:rsidP="00AA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6653" w:rsidRPr="00412579" w:rsidRDefault="00496653" w:rsidP="00AA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Жұмыстын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түпнұсқалығының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көрсеткіші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653" w:rsidRPr="00412579" w:rsidRDefault="00496653" w:rsidP="00AA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Дәстүрлі бағалау жүйесі</w:t>
            </w:r>
          </w:p>
        </w:tc>
      </w:tr>
      <w:tr w:rsidR="00496653" w:rsidRPr="001D5340" w:rsidTr="00AA55BD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</w:p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val="ru-RU"/>
              </w:rPr>
              <w:t>Ө</w:t>
            </w:r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496653" w:rsidRPr="001D5340" w:rsidTr="00AA55BD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85-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</w:p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val="ru-RU"/>
              </w:rPr>
              <w:t>Ө</w:t>
            </w:r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412579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80-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85-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  <w:p w:rsidR="00496653" w:rsidRPr="004C02AC" w:rsidRDefault="00496653" w:rsidP="00AA55BD"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80-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85-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  <w:p w:rsidR="00496653" w:rsidRPr="004C02AC" w:rsidRDefault="00496653" w:rsidP="00AA55BD"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lastRenderedPageBreak/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>80-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нен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85-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ке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  <w:p w:rsidR="00496653" w:rsidRPr="004C02AC" w:rsidRDefault="00496653" w:rsidP="00AA55BD">
            <w:pPr>
              <w:rPr>
                <w:sz w:val="12"/>
                <w:szCs w:val="12"/>
              </w:rPr>
            </w:pP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 xml:space="preserve"> 75-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80-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A4">
              <w:rPr>
                <w:rFonts w:ascii="Times New Roman" w:hAnsi="Times New Roman"/>
                <w:sz w:val="24"/>
                <w:szCs w:val="24"/>
              </w:rPr>
              <w:t>Қанағаттанарлық</w:t>
            </w:r>
            <w:proofErr w:type="spellEnd"/>
          </w:p>
        </w:tc>
      </w:tr>
      <w:tr w:rsidR="00496653" w:rsidRPr="001D5340" w:rsidTr="00AA55BD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>75-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80-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ге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>75-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80-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ге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>75-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80-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ге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C02AC">
              <w:rPr>
                <w:rFonts w:ascii="Times New Roman" w:hAnsi="Times New Roman"/>
                <w:sz w:val="24"/>
                <w:szCs w:val="24"/>
              </w:rPr>
              <w:t>75-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80-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ге</w:t>
            </w:r>
            <w:proofErr w:type="spellEnd"/>
            <w:r w:rsidRPr="004C0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24"/>
                <w:szCs w:val="24"/>
                <w:lang w:val="ru-RU"/>
              </w:rPr>
              <w:t>дейін</w:t>
            </w:r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Өзіндік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ерекшелікке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қойылатын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талап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төмендетілуі</w:t>
            </w:r>
            <w:proofErr w:type="spellEnd"/>
            <w:r w:rsidRPr="004C02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F03A4">
              <w:rPr>
                <w:rFonts w:ascii="Times New Roman" w:hAnsi="Times New Roman"/>
                <w:sz w:val="12"/>
                <w:szCs w:val="12"/>
                <w:lang w:val="ru-RU"/>
              </w:rPr>
              <w:t>мүмкін</w:t>
            </w:r>
            <w:proofErr w:type="spellEnd"/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653" w:rsidRPr="004C02AC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53" w:rsidRPr="001D5340" w:rsidTr="00AA55BD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r w:rsidRPr="00412579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653" w:rsidRPr="00412579" w:rsidRDefault="00496653" w:rsidP="00AA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579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</w:tr>
    </w:tbl>
    <w:p w:rsidR="00496653" w:rsidRPr="00E61841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96653" w:rsidRPr="00BD3B72" w:rsidRDefault="00496653" w:rsidP="00BD3B72">
      <w:pPr>
        <w:pStyle w:val="a3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</w:pPr>
      <w:r w:rsidRPr="008F03A4"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>Маңызды.</w:t>
      </w:r>
    </w:p>
    <w:p w:rsidR="00496653" w:rsidRPr="008F03A4" w:rsidRDefault="00496653" w:rsidP="00496653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 xml:space="preserve">     </w:t>
      </w:r>
      <w:r w:rsidRPr="008F03A4"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>Сертификаттаудан кейін біраз уақыттан кейін прокторингтің бейнежазбасын қарау және плагиатқа қарсы есепті тексеру кезінде емтихан ережелерін бұзушылықтарды анықтау нәтижесінде Сіздің ұпайыңыз жойылуы мүмкін.</w:t>
      </w:r>
    </w:p>
    <w:p w:rsidR="00496653" w:rsidRPr="008F03A4" w:rsidRDefault="00496653" w:rsidP="0049665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F03A4">
        <w:rPr>
          <w:rFonts w:ascii="Times New Roman" w:hAnsi="Times New Roman"/>
          <w:b/>
          <w:bCs/>
          <w:sz w:val="28"/>
          <w:szCs w:val="28"/>
          <w:lang w:val="kk-KZ"/>
        </w:rPr>
        <w:t>Академиялық құндылықтар:</w:t>
      </w:r>
    </w:p>
    <w:p w:rsidR="00496653" w:rsidRPr="008F03A4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BD3B72" w:rsidRDefault="00496653" w:rsidP="00BD3B7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8F03A4">
        <w:rPr>
          <w:rFonts w:ascii="Times New Roman" w:hAnsi="Times New Roman"/>
          <w:sz w:val="28"/>
          <w:szCs w:val="28"/>
          <w:lang w:val="kk-KZ"/>
        </w:rPr>
        <w:t>Академиялық адалдық пен тұтастық: барлық тапсырмаларды орындаудың дербестігі; плагиатқа, жалғандыққа, шпаргалкаларды, гаджеттерді пайдалануға, білімді бақылаудың барлық кезеңдерінде есептен шығаруға, оқытушыны алдауға және оған құрметсіздікпен қарауға жол бермеу (ҚазҰУ студентінің ар-намыс кодексі).</w:t>
      </w:r>
    </w:p>
    <w:p w:rsidR="00BD3B72" w:rsidRDefault="00BD3B72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96653" w:rsidRPr="00E61841" w:rsidRDefault="00496653" w:rsidP="004966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F03A4">
        <w:rPr>
          <w:rFonts w:ascii="Times New Roman" w:hAnsi="Times New Roman"/>
          <w:b/>
          <w:bCs/>
          <w:sz w:val="28"/>
          <w:szCs w:val="28"/>
          <w:lang w:val="kk-KZ"/>
        </w:rPr>
        <w:t>ЕМТИХАНҒА СӘТТІЛІК!</w:t>
      </w:r>
    </w:p>
    <w:p w:rsidR="00496653" w:rsidRPr="008F50CE" w:rsidRDefault="00496653" w:rsidP="0049665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496653" w:rsidRPr="008F5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0AAE"/>
    <w:multiLevelType w:val="hybridMultilevel"/>
    <w:tmpl w:val="A92C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2967"/>
    <w:multiLevelType w:val="hybridMultilevel"/>
    <w:tmpl w:val="3BAC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7A64"/>
    <w:multiLevelType w:val="hybridMultilevel"/>
    <w:tmpl w:val="5F0CEE20"/>
    <w:lvl w:ilvl="0" w:tplc="F1F849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673209"/>
    <w:multiLevelType w:val="hybridMultilevel"/>
    <w:tmpl w:val="794CCF34"/>
    <w:lvl w:ilvl="0" w:tplc="A7B8E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C4994"/>
    <w:multiLevelType w:val="hybridMultilevel"/>
    <w:tmpl w:val="AF7EF520"/>
    <w:lvl w:ilvl="0" w:tplc="70945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D356D"/>
    <w:multiLevelType w:val="multilevel"/>
    <w:tmpl w:val="8EC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63748"/>
    <w:multiLevelType w:val="hybridMultilevel"/>
    <w:tmpl w:val="6102E540"/>
    <w:lvl w:ilvl="0" w:tplc="AD6ED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EC"/>
    <w:rsid w:val="0003352D"/>
    <w:rsid w:val="000A29CE"/>
    <w:rsid w:val="000B291F"/>
    <w:rsid w:val="00154251"/>
    <w:rsid w:val="00221EA9"/>
    <w:rsid w:val="002319E6"/>
    <w:rsid w:val="002D5D97"/>
    <w:rsid w:val="00390C7B"/>
    <w:rsid w:val="003C74CC"/>
    <w:rsid w:val="003E0EC3"/>
    <w:rsid w:val="00432CEC"/>
    <w:rsid w:val="00496653"/>
    <w:rsid w:val="006A7DEE"/>
    <w:rsid w:val="006D5AC8"/>
    <w:rsid w:val="00772B88"/>
    <w:rsid w:val="007B1798"/>
    <w:rsid w:val="00800BAD"/>
    <w:rsid w:val="00857368"/>
    <w:rsid w:val="008713CF"/>
    <w:rsid w:val="008B0C2B"/>
    <w:rsid w:val="008C2C76"/>
    <w:rsid w:val="009C1AF5"/>
    <w:rsid w:val="00A64AA5"/>
    <w:rsid w:val="00B6445C"/>
    <w:rsid w:val="00BD3B72"/>
    <w:rsid w:val="00BF7690"/>
    <w:rsid w:val="00C67D49"/>
    <w:rsid w:val="00CE06F6"/>
    <w:rsid w:val="00DD43B5"/>
    <w:rsid w:val="00EE6DD7"/>
    <w:rsid w:val="00F37DED"/>
    <w:rsid w:val="00F40DEC"/>
    <w:rsid w:val="00F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F73FE-E6A5-4D7F-991D-ADBE5B57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5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653"/>
    <w:pPr>
      <w:ind w:left="720"/>
      <w:contextualSpacing/>
    </w:pPr>
  </w:style>
  <w:style w:type="character" w:styleId="a4">
    <w:name w:val="Hyperlink"/>
    <w:uiPriority w:val="99"/>
    <w:unhideWhenUsed/>
    <w:rsid w:val="00496653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496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wipo_magazine/ru/2019/04/article_0007.html" TargetMode="External"/><Relationship Id="rId13" Type="http://schemas.openxmlformats.org/officeDocument/2006/relationships/hyperlink" Target="https://www.intellectpro.ru/press/works/iz_istorii_prava_intellektual_noy_sobstvennosti/" TargetMode="External"/><Relationship Id="rId18" Type="http://schemas.openxmlformats.org/officeDocument/2006/relationships/hyperlink" Target="https://egov.kz/cms/ru/articles/copyright/intellectual_property" TargetMode="External"/><Relationship Id="rId26" Type="http://schemas.openxmlformats.org/officeDocument/2006/relationships/hyperlink" Target="https://moluch.ru/archive/24/259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tameken.kz/ru/services/39-intellektual-naya-sobstvennost" TargetMode="External"/><Relationship Id="rId7" Type="http://schemas.openxmlformats.org/officeDocument/2006/relationships/hyperlink" Target="https://www.wipo.int/treaties/ru/convention" TargetMode="External"/><Relationship Id="rId12" Type="http://schemas.openxmlformats.org/officeDocument/2006/relationships/hyperlink" Target="https://www.intellectpro.ru/press/works/iz_istorii_prava_intellektual_noy_sobstvennosti/" TargetMode="External"/><Relationship Id="rId17" Type="http://schemas.openxmlformats.org/officeDocument/2006/relationships/hyperlink" Target="https://azalesov.ru/analytics/publications/evolyutsiya-prava-ot-literaturnoj-sobstvennosti-k-avtorskomu-pravu-xv-ikhkh-veka-i-ee-prichiny" TargetMode="External"/><Relationship Id="rId25" Type="http://schemas.openxmlformats.org/officeDocument/2006/relationships/hyperlink" Target="https://www.ohchr.org/sites/default/files/Documents/Issues/Development/PamphletsRealizing_for_TransformativeDevelopment_r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.bsu.by/bitstream/123456789/255668/1/dubodel_sbornik25.pdf" TargetMode="External"/><Relationship Id="rId20" Type="http://schemas.openxmlformats.org/officeDocument/2006/relationships/hyperlink" Target="https://www.itu.int/ru/ITU-T/ipr/Pages/default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tentus.ru/media/statyi/ss/istorija-prava-intellektualnoj-sobstvennosti/" TargetMode="External"/><Relationship Id="rId11" Type="http://schemas.openxmlformats.org/officeDocument/2006/relationships/hyperlink" Target="https://www.kubsu.ru/sites/default/files/users/22405/portfolio/0131318.pdf" TargetMode="External"/><Relationship Id="rId24" Type="http://schemas.openxmlformats.org/officeDocument/2006/relationships/hyperlink" Target="https://klin.rgsu.net/science/istoriya-i-sovremennye-problemy-prava-intellektualnoy-sobstvennosti.html" TargetMode="External"/><Relationship Id="rId5" Type="http://schemas.openxmlformats.org/officeDocument/2006/relationships/hyperlink" Target="https://www.wipo.int/treaties/ru/ip/berne/summary_berne.html" TargetMode="External"/><Relationship Id="rId15" Type="http://schemas.openxmlformats.org/officeDocument/2006/relationships/hyperlink" Target="https://www.dissercat.com/content/evolyutsiya-kontseptsii-prava-intellektualnoi-sobstvennosti" TargetMode="External"/><Relationship Id="rId23" Type="http://schemas.openxmlformats.org/officeDocument/2006/relationships/hyperlink" Target="https://www.rbc.ru/opinions/business/17/07/2023/64b1651c9a7947bd9a2d05e4" TargetMode="External"/><Relationship Id="rId28" Type="http://schemas.openxmlformats.org/officeDocument/2006/relationships/hyperlink" Target="https://qazpatent.kz/sites/default/files/journal/isk_no3_2014_web.pdf" TargetMode="External"/><Relationship Id="rId10" Type="http://schemas.openxmlformats.org/officeDocument/2006/relationships/hyperlink" Target="http://crimescience.ru/wp-content/uploads" TargetMode="External"/><Relationship Id="rId19" Type="http://schemas.openxmlformats.org/officeDocument/2006/relationships/hyperlink" Target="http://ipcmagazine.ru/legal-issues/on-the-concept-of-intellectual-property-from-the-standpoint-of-international-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pat.gov.az/docs/Kamran" TargetMode="External"/><Relationship Id="rId14" Type="http://schemas.openxmlformats.org/officeDocument/2006/relationships/hyperlink" Target="https://dip.global/block/evolyuciya-intellektualnyh-prav-1" TargetMode="External"/><Relationship Id="rId22" Type="http://schemas.openxmlformats.org/officeDocument/2006/relationships/hyperlink" Target="https://www.gov.kz/memleket/entities/adilet/documents/details/166427?lang=ru" TargetMode="External"/><Relationship Id="rId27" Type="http://schemas.openxmlformats.org/officeDocument/2006/relationships/hyperlink" Target="https://www.coe.int/ru/web/compass/the-evolution-of-human-righ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16</cp:revision>
  <dcterms:created xsi:type="dcterms:W3CDTF">2023-10-24T10:49:00Z</dcterms:created>
  <dcterms:modified xsi:type="dcterms:W3CDTF">2023-10-24T11:30:00Z</dcterms:modified>
</cp:coreProperties>
</file>